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58" w:rsidRPr="00C637DF" w:rsidRDefault="008E3D58" w:rsidP="00BD5272">
      <w:pPr>
        <w:pStyle w:val="Title"/>
        <w:rPr>
          <w:rFonts w:ascii="Arial" w:hAnsi="Arial" w:cs="Arial"/>
        </w:rPr>
      </w:pPr>
      <w:r w:rsidRPr="00C637DF">
        <w:rPr>
          <w:rFonts w:ascii="Arial" w:hAnsi="Arial" w:cs="Arial"/>
        </w:rPr>
        <w:t>Documents / Information for in-principle approval of Public issue of Debt</w:t>
      </w:r>
    </w:p>
    <w:p w:rsidR="008E3D58" w:rsidRPr="00C637DF" w:rsidRDefault="008E3D58" w:rsidP="00BD5272">
      <w:pPr>
        <w:autoSpaceDE w:val="0"/>
        <w:autoSpaceDN w:val="0"/>
        <w:adjustRightInd w:val="0"/>
        <w:jc w:val="both"/>
        <w:rPr>
          <w:b/>
          <w:bCs/>
          <w:sz w:val="24"/>
          <w:u w:val="single"/>
        </w:rPr>
      </w:pPr>
    </w:p>
    <w:p w:rsidR="008E3D58" w:rsidRPr="00C637DF" w:rsidRDefault="008E3D58" w:rsidP="00BD5272">
      <w:pPr>
        <w:tabs>
          <w:tab w:val="left" w:pos="720"/>
        </w:tabs>
        <w:autoSpaceDE w:val="0"/>
        <w:autoSpaceDN w:val="0"/>
        <w:adjustRightInd w:val="0"/>
        <w:ind w:left="720" w:hanging="360"/>
        <w:jc w:val="both"/>
        <w:rPr>
          <w:sz w:val="24"/>
        </w:rPr>
      </w:pPr>
    </w:p>
    <w:p w:rsidR="008E3D58" w:rsidRPr="00C637DF" w:rsidRDefault="00A22509" w:rsidP="00BD5272">
      <w:pPr>
        <w:pStyle w:val="BodyTextIndent2"/>
        <w:tabs>
          <w:tab w:val="clear" w:pos="720"/>
          <w:tab w:val="left" w:pos="90"/>
        </w:tabs>
        <w:ind w:left="90" w:firstLine="0"/>
        <w:rPr>
          <w:rFonts w:ascii="Arial" w:hAnsi="Arial" w:cs="Arial"/>
        </w:rPr>
      </w:pPr>
      <w:r w:rsidRPr="00C637DF">
        <w:rPr>
          <w:rFonts w:ascii="Arial" w:hAnsi="Arial" w:cs="Arial"/>
        </w:rPr>
        <w:t>Along with</w:t>
      </w:r>
      <w:r w:rsidR="008E3D58" w:rsidRPr="00C637DF">
        <w:rPr>
          <w:rFonts w:ascii="Arial" w:hAnsi="Arial" w:cs="Arial"/>
        </w:rPr>
        <w:t xml:space="preserve"> the application for seeking in-principle approval of the Exchange to use name of the Exchange in the offer document and to list its proposed Bonds/NCDs at the Exchange, the following documents/information have to be filed by the Company with the Exchange:</w:t>
      </w:r>
    </w:p>
    <w:p w:rsidR="008E3D58" w:rsidRPr="00C637DF" w:rsidRDefault="008E3D58" w:rsidP="00BD5272">
      <w:pPr>
        <w:tabs>
          <w:tab w:val="left" w:pos="720"/>
        </w:tabs>
        <w:autoSpaceDE w:val="0"/>
        <w:autoSpaceDN w:val="0"/>
        <w:adjustRightInd w:val="0"/>
        <w:ind w:left="720" w:hanging="360"/>
        <w:jc w:val="both"/>
        <w:rPr>
          <w:sz w:val="24"/>
        </w:rPr>
      </w:pPr>
    </w:p>
    <w:p w:rsidR="008E3D58" w:rsidRPr="00C637DF" w:rsidRDefault="00656521" w:rsidP="00BD5272">
      <w:pPr>
        <w:numPr>
          <w:ilvl w:val="0"/>
          <w:numId w:val="1"/>
        </w:numPr>
        <w:autoSpaceDE w:val="0"/>
        <w:autoSpaceDN w:val="0"/>
        <w:adjustRightInd w:val="0"/>
        <w:jc w:val="both"/>
        <w:rPr>
          <w:sz w:val="24"/>
        </w:rPr>
      </w:pPr>
      <w:r>
        <w:rPr>
          <w:sz w:val="24"/>
        </w:rPr>
        <w:t>2 copies of the Draft</w:t>
      </w:r>
      <w:r w:rsidR="008E3D58" w:rsidRPr="00C637DF">
        <w:rPr>
          <w:sz w:val="24"/>
        </w:rPr>
        <w:t xml:space="preserve"> offer document.</w:t>
      </w:r>
    </w:p>
    <w:p w:rsidR="008E3D58" w:rsidRDefault="008E3D58" w:rsidP="00BD5272">
      <w:pPr>
        <w:numPr>
          <w:ilvl w:val="0"/>
          <w:numId w:val="1"/>
        </w:numPr>
        <w:autoSpaceDE w:val="0"/>
        <w:autoSpaceDN w:val="0"/>
        <w:adjustRightInd w:val="0"/>
        <w:jc w:val="both"/>
        <w:rPr>
          <w:sz w:val="24"/>
        </w:rPr>
      </w:pPr>
      <w:r w:rsidRPr="00C637DF">
        <w:rPr>
          <w:sz w:val="24"/>
        </w:rPr>
        <w:t>Copy of resolution passed by the Board of Directors for issue of Bonds/NCDs</w:t>
      </w:r>
    </w:p>
    <w:p w:rsidR="00656521" w:rsidRPr="00C637DF" w:rsidRDefault="009C6C29" w:rsidP="009C6C29">
      <w:pPr>
        <w:numPr>
          <w:ilvl w:val="0"/>
          <w:numId w:val="1"/>
        </w:numPr>
        <w:autoSpaceDE w:val="0"/>
        <w:autoSpaceDN w:val="0"/>
        <w:adjustRightInd w:val="0"/>
        <w:jc w:val="both"/>
        <w:rPr>
          <w:sz w:val="24"/>
        </w:rPr>
      </w:pPr>
      <w:r w:rsidRPr="009C6C29">
        <w:rPr>
          <w:sz w:val="24"/>
        </w:rPr>
        <w:t>Copy of resolution passed by the shareholders of the company for issue of Bonds/</w:t>
      </w:r>
      <w:proofErr w:type="gramStart"/>
      <w:r w:rsidRPr="009C6C29">
        <w:rPr>
          <w:sz w:val="24"/>
        </w:rPr>
        <w:t>NCDs .</w:t>
      </w:r>
      <w:proofErr w:type="gramEnd"/>
    </w:p>
    <w:p w:rsidR="008E3D58" w:rsidRDefault="008E3D58" w:rsidP="00BD5272">
      <w:pPr>
        <w:numPr>
          <w:ilvl w:val="0"/>
          <w:numId w:val="1"/>
        </w:numPr>
        <w:tabs>
          <w:tab w:val="clear" w:pos="1080"/>
          <w:tab w:val="left" w:pos="720"/>
        </w:tabs>
        <w:autoSpaceDE w:val="0"/>
        <w:autoSpaceDN w:val="0"/>
        <w:adjustRightInd w:val="0"/>
        <w:jc w:val="both"/>
        <w:rPr>
          <w:sz w:val="24"/>
        </w:rPr>
      </w:pPr>
      <w:r w:rsidRPr="00C637DF">
        <w:rPr>
          <w:sz w:val="24"/>
        </w:rPr>
        <w:t>The company should pay processing fees @ 0.05% of the issue size; subject to a minimum of Rs.50</w:t>
      </w:r>
      <w:proofErr w:type="gramStart"/>
      <w:r w:rsidRPr="00C637DF">
        <w:rPr>
          <w:sz w:val="24"/>
        </w:rPr>
        <w:t>,000</w:t>
      </w:r>
      <w:proofErr w:type="gramEnd"/>
      <w:r w:rsidRPr="00C637DF">
        <w:rPr>
          <w:sz w:val="24"/>
        </w:rPr>
        <w:t>/- and maximum of Rs.5,00,000/-, along-wi</w:t>
      </w:r>
      <w:r w:rsidR="003B660D" w:rsidRPr="00C637DF">
        <w:rPr>
          <w:sz w:val="24"/>
        </w:rPr>
        <w:t xml:space="preserve">th service tax at </w:t>
      </w:r>
      <w:r w:rsidRPr="00C637DF">
        <w:rPr>
          <w:sz w:val="24"/>
        </w:rPr>
        <w:t xml:space="preserve"> </w:t>
      </w:r>
      <w:r w:rsidR="002F4368" w:rsidRPr="00C637DF">
        <w:rPr>
          <w:sz w:val="24"/>
        </w:rPr>
        <w:t>applicable rate</w:t>
      </w:r>
      <w:r w:rsidRPr="00C637DF">
        <w:rPr>
          <w:sz w:val="24"/>
        </w:rPr>
        <w:t>.</w:t>
      </w:r>
    </w:p>
    <w:p w:rsidR="004C08A7" w:rsidRDefault="004C08A7" w:rsidP="004C08A7">
      <w:pPr>
        <w:numPr>
          <w:ilvl w:val="0"/>
          <w:numId w:val="1"/>
        </w:numPr>
        <w:tabs>
          <w:tab w:val="left" w:pos="720"/>
        </w:tabs>
        <w:autoSpaceDE w:val="0"/>
        <w:autoSpaceDN w:val="0"/>
        <w:adjustRightInd w:val="0"/>
        <w:jc w:val="both"/>
        <w:rPr>
          <w:sz w:val="24"/>
        </w:rPr>
      </w:pPr>
      <w:r w:rsidRPr="004C08A7">
        <w:rPr>
          <w:sz w:val="24"/>
        </w:rPr>
        <w:t>Synopsis of Material Contracts &amp; Agreements</w:t>
      </w:r>
      <w:bookmarkStart w:id="0" w:name="_GoBack"/>
      <w:bookmarkEnd w:id="0"/>
    </w:p>
    <w:p w:rsidR="005900D1" w:rsidRPr="005900D1" w:rsidRDefault="005900D1" w:rsidP="005900D1">
      <w:pPr>
        <w:numPr>
          <w:ilvl w:val="0"/>
          <w:numId w:val="1"/>
        </w:numPr>
        <w:tabs>
          <w:tab w:val="left" w:pos="720"/>
        </w:tabs>
        <w:autoSpaceDE w:val="0"/>
        <w:autoSpaceDN w:val="0"/>
        <w:adjustRightInd w:val="0"/>
        <w:jc w:val="both"/>
        <w:rPr>
          <w:sz w:val="24"/>
        </w:rPr>
      </w:pPr>
      <w:r w:rsidRPr="005900D1">
        <w:rPr>
          <w:sz w:val="24"/>
        </w:rPr>
        <w:t xml:space="preserve">Undertaking from the compliance officer of the issuer as per the format given below </w:t>
      </w:r>
    </w:p>
    <w:p w:rsidR="005900D1" w:rsidRDefault="00285DD1" w:rsidP="005900D1">
      <w:pPr>
        <w:tabs>
          <w:tab w:val="left" w:pos="720"/>
        </w:tabs>
        <w:autoSpaceDE w:val="0"/>
        <w:autoSpaceDN w:val="0"/>
        <w:adjustRightInd w:val="0"/>
        <w:ind w:left="720"/>
        <w:jc w:val="both"/>
        <w:rPr>
          <w:sz w:val="24"/>
        </w:rPr>
      </w:pPr>
      <w:r>
        <w:rPr>
          <w:sz w:val="24"/>
        </w:rPr>
        <w:t xml:space="preserve">   </w:t>
      </w:r>
      <w:r w:rsidR="005900D1" w:rsidRPr="005900D1">
        <w:rPr>
          <w:sz w:val="24"/>
        </w:rPr>
        <w:t xml:space="preserve">“Neither the issuer nor any of its promoters or directors is a willful defaulter as </w:t>
      </w:r>
      <w:r>
        <w:rPr>
          <w:sz w:val="24"/>
        </w:rPr>
        <w:t xml:space="preserve">   </w:t>
      </w:r>
      <w:r w:rsidR="005900D1" w:rsidRPr="005900D1">
        <w:rPr>
          <w:sz w:val="24"/>
        </w:rPr>
        <w:t xml:space="preserve">defined </w:t>
      </w:r>
      <w:r w:rsidR="005900D1">
        <w:rPr>
          <w:sz w:val="24"/>
        </w:rPr>
        <w:t>under</w:t>
      </w:r>
      <w:r w:rsidR="005900D1" w:rsidRPr="005900D1">
        <w:rPr>
          <w:sz w:val="24"/>
        </w:rPr>
        <w:t xml:space="preserve"> Regulation 2 (1) (n) of SEBI (ILDS) Regulations, 2008”</w:t>
      </w:r>
      <w:r w:rsidR="009C6C29">
        <w:rPr>
          <w:sz w:val="24"/>
        </w:rPr>
        <w:t>.</w:t>
      </w:r>
    </w:p>
    <w:p w:rsidR="009C6C29" w:rsidRDefault="009C6C29" w:rsidP="005900D1">
      <w:pPr>
        <w:tabs>
          <w:tab w:val="left" w:pos="720"/>
        </w:tabs>
        <w:autoSpaceDE w:val="0"/>
        <w:autoSpaceDN w:val="0"/>
        <w:adjustRightInd w:val="0"/>
        <w:ind w:left="720"/>
        <w:jc w:val="both"/>
        <w:rPr>
          <w:sz w:val="24"/>
        </w:rPr>
      </w:pPr>
    </w:p>
    <w:p w:rsidR="009C6C29" w:rsidRPr="00C637DF" w:rsidRDefault="009C6C29" w:rsidP="005900D1">
      <w:pPr>
        <w:tabs>
          <w:tab w:val="left" w:pos="720"/>
        </w:tabs>
        <w:autoSpaceDE w:val="0"/>
        <w:autoSpaceDN w:val="0"/>
        <w:adjustRightInd w:val="0"/>
        <w:ind w:left="720"/>
        <w:jc w:val="both"/>
        <w:rPr>
          <w:sz w:val="24"/>
        </w:rPr>
      </w:pPr>
      <w:r>
        <w:rPr>
          <w:sz w:val="24"/>
        </w:rPr>
        <w:t>“</w:t>
      </w:r>
      <w:r w:rsidRPr="009C6C29">
        <w:rPr>
          <w:sz w:val="24"/>
        </w:rPr>
        <w:t>We hereby confirm that the company or its promoters or whole time directors are not in violation of the provisions of Regulation 24 of the SEBI Delisting Regulations, 2009.”</w:t>
      </w:r>
    </w:p>
    <w:p w:rsidR="008E3D58" w:rsidRPr="00C637DF" w:rsidRDefault="008E3D58" w:rsidP="00BD5272">
      <w:pPr>
        <w:pStyle w:val="BodyTextIndent"/>
        <w:ind w:left="1080"/>
        <w:rPr>
          <w:rFonts w:ascii="Arial" w:hAnsi="Arial" w:cs="Arial"/>
        </w:rPr>
      </w:pPr>
    </w:p>
    <w:p w:rsidR="00C401FA" w:rsidRPr="00C637DF" w:rsidRDefault="008E3D58" w:rsidP="00BD5272">
      <w:pPr>
        <w:jc w:val="both"/>
        <w:rPr>
          <w:sz w:val="24"/>
        </w:rPr>
      </w:pPr>
      <w:r w:rsidRPr="00C637DF">
        <w:rPr>
          <w:sz w:val="24"/>
        </w:rPr>
        <w:t>The Company shall undertake to inform the Exchange forthwith of any material development which takes place after the filing of the application with the Exchange but prior to the issue of the in-principle approval that may render the information provided to the Exchange (whether in the application or otherwise) incorrect or outdated or which otherwise has a bearing on the proposed issue of securities.</w:t>
      </w:r>
    </w:p>
    <w:sectPr w:rsidR="00C401FA" w:rsidRPr="00C637DF" w:rsidSect="00C4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922F3"/>
    <w:multiLevelType w:val="hybridMultilevel"/>
    <w:tmpl w:val="0ED8DF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58"/>
    <w:rsid w:val="000249BA"/>
    <w:rsid w:val="00285DD1"/>
    <w:rsid w:val="002F4368"/>
    <w:rsid w:val="003B660D"/>
    <w:rsid w:val="004854A6"/>
    <w:rsid w:val="004C08A7"/>
    <w:rsid w:val="00505DD9"/>
    <w:rsid w:val="005900D1"/>
    <w:rsid w:val="00656521"/>
    <w:rsid w:val="008E3D58"/>
    <w:rsid w:val="009C6C29"/>
    <w:rsid w:val="00A22509"/>
    <w:rsid w:val="00BD5272"/>
    <w:rsid w:val="00C401FA"/>
    <w:rsid w:val="00C6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4A439-86B2-4BD4-8440-E6F22C1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58"/>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3D58"/>
    <w:pPr>
      <w:autoSpaceDE w:val="0"/>
      <w:autoSpaceDN w:val="0"/>
      <w:adjustRightInd w:val="0"/>
      <w:ind w:left="1440" w:hanging="360"/>
      <w:jc w:val="both"/>
    </w:pPr>
    <w:rPr>
      <w:rFonts w:ascii="Times New Roman" w:hAnsi="Times New Roman" w:cs="Times New Roman"/>
      <w:sz w:val="24"/>
    </w:rPr>
  </w:style>
  <w:style w:type="character" w:customStyle="1" w:styleId="BodyTextIndentChar">
    <w:name w:val="Body Text Indent Char"/>
    <w:basedOn w:val="DefaultParagraphFont"/>
    <w:link w:val="BodyTextIndent"/>
    <w:rsid w:val="008E3D58"/>
    <w:rPr>
      <w:rFonts w:ascii="Times New Roman" w:eastAsia="Times New Roman" w:hAnsi="Times New Roman" w:cs="Times New Roman"/>
      <w:sz w:val="24"/>
      <w:szCs w:val="24"/>
    </w:rPr>
  </w:style>
  <w:style w:type="paragraph" w:styleId="Title">
    <w:name w:val="Title"/>
    <w:basedOn w:val="Normal"/>
    <w:link w:val="TitleChar"/>
    <w:qFormat/>
    <w:rsid w:val="008E3D58"/>
    <w:pPr>
      <w:autoSpaceDE w:val="0"/>
      <w:autoSpaceDN w:val="0"/>
      <w:adjustRightInd w:val="0"/>
      <w:jc w:val="center"/>
    </w:pPr>
    <w:rPr>
      <w:rFonts w:ascii="Times New Roman" w:hAnsi="Times New Roman" w:cs="Times New Roman"/>
      <w:b/>
      <w:bCs/>
      <w:sz w:val="24"/>
      <w:u w:val="single"/>
    </w:rPr>
  </w:style>
  <w:style w:type="character" w:customStyle="1" w:styleId="TitleChar">
    <w:name w:val="Title Char"/>
    <w:basedOn w:val="DefaultParagraphFont"/>
    <w:link w:val="Title"/>
    <w:rsid w:val="008E3D58"/>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rsid w:val="008E3D58"/>
    <w:pPr>
      <w:tabs>
        <w:tab w:val="left" w:pos="720"/>
      </w:tabs>
      <w:autoSpaceDE w:val="0"/>
      <w:autoSpaceDN w:val="0"/>
      <w:adjustRightInd w:val="0"/>
      <w:ind w:left="720" w:hanging="360"/>
      <w:jc w:val="both"/>
    </w:pPr>
    <w:rPr>
      <w:rFonts w:ascii="Times New Roman" w:hAnsi="Times New Roman" w:cs="Times New Roman"/>
      <w:sz w:val="24"/>
    </w:rPr>
  </w:style>
  <w:style w:type="character" w:customStyle="1" w:styleId="BodyTextIndent2Char">
    <w:name w:val="Body Text Indent 2 Char"/>
    <w:basedOn w:val="DefaultParagraphFont"/>
    <w:link w:val="BodyTextIndent2"/>
    <w:rsid w:val="008E3D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90965">
      <w:bodyDiv w:val="1"/>
      <w:marLeft w:val="0"/>
      <w:marRight w:val="0"/>
      <w:marTop w:val="0"/>
      <w:marBottom w:val="0"/>
      <w:divBdr>
        <w:top w:val="none" w:sz="0" w:space="0" w:color="auto"/>
        <w:left w:val="none" w:sz="0" w:space="0" w:color="auto"/>
        <w:bottom w:val="none" w:sz="0" w:space="0" w:color="auto"/>
        <w:right w:val="none" w:sz="0" w:space="0" w:color="auto"/>
      </w:divBdr>
    </w:div>
    <w:div w:id="6930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Rutuja Mandavkar</cp:lastModifiedBy>
  <cp:revision>13</cp:revision>
  <dcterms:created xsi:type="dcterms:W3CDTF">2015-06-22T06:29:00Z</dcterms:created>
  <dcterms:modified xsi:type="dcterms:W3CDTF">2016-11-15T09:36:00Z</dcterms:modified>
</cp:coreProperties>
</file>